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5" w:rsidRPr="00C166B9" w:rsidRDefault="00DC5645" w:rsidP="00E04C75">
      <w:pPr>
        <w:pStyle w:val="TitleCover"/>
        <w:pBdr>
          <w:bottom w:val="single" w:sz="12" w:space="1" w:color="auto"/>
        </w:pBdr>
        <w:spacing w:line="1000" w:lineRule="exact"/>
        <w:rPr>
          <w:sz w:val="52"/>
        </w:rPr>
      </w:pPr>
      <w:r>
        <w:rPr>
          <w:sz w:val="52"/>
        </w:rPr>
        <w:t>Windows 7 Application Standards</w:t>
      </w:r>
    </w:p>
    <w:p w:rsidR="00176226" w:rsidRDefault="00176226" w:rsidP="004469E4">
      <w:pPr>
        <w:pStyle w:val="Heading5"/>
        <w:tabs>
          <w:tab w:val="clear" w:pos="1802"/>
          <w:tab w:val="left" w:pos="1260"/>
        </w:tabs>
        <w:spacing w:after="0"/>
        <w:ind w:left="0" w:firstLine="0"/>
        <w:rPr>
          <w:rStyle w:val="Slogan"/>
          <w:sz w:val="20"/>
          <w:szCs w:val="20"/>
        </w:rPr>
      </w:pPr>
      <w:r w:rsidRPr="00E04C75">
        <w:rPr>
          <w:rStyle w:val="Slogan"/>
          <w:sz w:val="20"/>
          <w:szCs w:val="20"/>
        </w:rPr>
        <w:t xml:space="preserve">Prepared by: </w:t>
      </w:r>
      <w:r w:rsidR="00DC5645">
        <w:rPr>
          <w:rStyle w:val="Slogan"/>
          <w:sz w:val="20"/>
          <w:szCs w:val="20"/>
        </w:rPr>
        <w:t>Matthew Clayton</w:t>
      </w:r>
      <w:r w:rsidRPr="00E04C75">
        <w:rPr>
          <w:rStyle w:val="Slogan"/>
          <w:sz w:val="20"/>
          <w:szCs w:val="20"/>
        </w:rPr>
        <w:br/>
        <w:t xml:space="preserve">Section: </w:t>
      </w:r>
      <w:r w:rsidR="004469E4">
        <w:rPr>
          <w:rStyle w:val="Slogan"/>
          <w:sz w:val="20"/>
          <w:szCs w:val="20"/>
        </w:rPr>
        <w:tab/>
      </w:r>
      <w:r w:rsidR="00DC5645">
        <w:rPr>
          <w:rStyle w:val="Slogan"/>
          <w:sz w:val="20"/>
          <w:szCs w:val="20"/>
        </w:rPr>
        <w:t>Learning Environments and Technology Services</w:t>
      </w:r>
    </w:p>
    <w:p w:rsidR="007D6BF3" w:rsidRDefault="007D6BF3" w:rsidP="007D6BF3"/>
    <w:p w:rsidR="00176226" w:rsidRDefault="00176226" w:rsidP="007D6BF3"/>
    <w:tbl>
      <w:tblPr>
        <w:tblW w:w="82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A0" w:firstRow="1" w:lastRow="0" w:firstColumn="1" w:lastColumn="0" w:noHBand="0" w:noVBand="0"/>
      </w:tblPr>
      <w:tblGrid>
        <w:gridCol w:w="2160"/>
        <w:gridCol w:w="6120"/>
      </w:tblGrid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Approval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tabs>
                <w:tab w:val="left" w:pos="2130"/>
              </w:tabs>
              <w:ind w:left="0" w:righ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  <w:r w:rsidR="009A4F6E">
              <w:t xml:space="preserve"> (e.g. 15 September, 2005)</w:t>
            </w: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Approving Body:</w:t>
            </w:r>
          </w:p>
        </w:tc>
        <w:tc>
          <w:tcPr>
            <w:tcW w:w="6120" w:type="dxa"/>
          </w:tcPr>
          <w:p w:rsidR="007D6BF3" w:rsidRDefault="007D6BF3" w:rsidP="00A275CE">
            <w:pPr>
              <w:pStyle w:val="BlockText"/>
              <w:tabs>
                <w:tab w:val="left" w:pos="2130"/>
              </w:tabs>
              <w:ind w:left="0" w:right="0"/>
            </w:pP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Submission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  <w:tr w:rsidR="008C62C6" w:rsidTr="00181ABC">
        <w:tc>
          <w:tcPr>
            <w:tcW w:w="2160" w:type="dxa"/>
            <w:shd w:val="clear" w:color="auto" w:fill="4C2432"/>
          </w:tcPr>
          <w:p w:rsidR="008C62C6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Date of Next Review:</w:t>
            </w:r>
          </w:p>
        </w:tc>
        <w:tc>
          <w:tcPr>
            <w:tcW w:w="6120" w:type="dxa"/>
          </w:tcPr>
          <w:p w:rsidR="008C62C6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</w:tbl>
    <w:p w:rsidR="007D6BF3" w:rsidRDefault="007D6BF3" w:rsidP="007D6BF3"/>
    <w:p w:rsidR="007D6BF3" w:rsidRDefault="007D6BF3" w:rsidP="00E04C75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1341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  <w:bookmarkStart w:id="0" w:name="_Toc50436986"/>
      <w:bookmarkStart w:id="1" w:name="_Toc50881169"/>
      <w:r>
        <w:rPr>
          <w:rStyle w:val="Slogan"/>
          <w:sz w:val="20"/>
          <w:szCs w:val="20"/>
        </w:rPr>
        <w:t>Modification History:</w:t>
      </w:r>
    </w:p>
    <w:tbl>
      <w:tblPr>
        <w:tblW w:w="93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ook w:val="00A0" w:firstRow="1" w:lastRow="0" w:firstColumn="1" w:lastColumn="0" w:noHBand="0" w:noVBand="0"/>
      </w:tblPr>
      <w:tblGrid>
        <w:gridCol w:w="2335"/>
        <w:gridCol w:w="1492"/>
        <w:gridCol w:w="2412"/>
        <w:gridCol w:w="3145"/>
      </w:tblGrid>
      <w:tr w:rsidR="009A4F6E" w:rsidTr="004F06D0">
        <w:tc>
          <w:tcPr>
            <w:tcW w:w="2335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Version Number</w:t>
            </w:r>
          </w:p>
        </w:tc>
        <w:tc>
          <w:tcPr>
            <w:tcW w:w="1492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Author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9A4F6E" w:rsidTr="004F06D0">
        <w:tc>
          <w:tcPr>
            <w:tcW w:w="2335" w:type="dxa"/>
          </w:tcPr>
          <w:p w:rsidR="00171341" w:rsidRDefault="00171341" w:rsidP="007D0F56">
            <w:pPr>
              <w:pStyle w:val="BlockText"/>
              <w:tabs>
                <w:tab w:val="left" w:pos="2160"/>
              </w:tabs>
              <w:ind w:left="0" w:right="0"/>
            </w:pPr>
            <w:r>
              <w:t xml:space="preserve">Version </w:t>
            </w:r>
            <w:r w:rsidR="00DC5645">
              <w:t>1.0</w:t>
            </w:r>
          </w:p>
        </w:tc>
        <w:tc>
          <w:tcPr>
            <w:tcW w:w="1492" w:type="dxa"/>
          </w:tcPr>
          <w:p w:rsidR="00171341" w:rsidRDefault="00DC5645" w:rsidP="009A4F6E">
            <w:pPr>
              <w:pStyle w:val="BlockText"/>
              <w:tabs>
                <w:tab w:val="left" w:pos="2160"/>
              </w:tabs>
              <w:ind w:left="0" w:right="0"/>
            </w:pPr>
            <w:r>
              <w:t>16/04/2010</w:t>
            </w:r>
          </w:p>
        </w:tc>
        <w:tc>
          <w:tcPr>
            <w:tcW w:w="2412" w:type="dxa"/>
          </w:tcPr>
          <w:p w:rsidR="00171341" w:rsidRDefault="00DC5645" w:rsidP="007D0F56">
            <w:pPr>
              <w:pStyle w:val="BlockText"/>
              <w:tabs>
                <w:tab w:val="left" w:pos="2130"/>
              </w:tabs>
              <w:ind w:left="0" w:right="0"/>
            </w:pPr>
            <w:r>
              <w:t>Matthew Clayton</w:t>
            </w:r>
          </w:p>
        </w:tc>
        <w:tc>
          <w:tcPr>
            <w:tcW w:w="3145" w:type="dxa"/>
          </w:tcPr>
          <w:p w:rsidR="00171341" w:rsidRDefault="00DC5645" w:rsidP="007D0F56">
            <w:pPr>
              <w:pStyle w:val="BlockText"/>
              <w:ind w:left="0" w:right="0"/>
            </w:pPr>
            <w:r>
              <w:t>First Draft</w:t>
            </w:r>
          </w:p>
        </w:tc>
      </w:tr>
      <w:tr w:rsidR="009A4F6E" w:rsidTr="004F06D0">
        <w:tc>
          <w:tcPr>
            <w:tcW w:w="2335" w:type="dxa"/>
          </w:tcPr>
          <w:p w:rsidR="00171341" w:rsidRDefault="004F06D0" w:rsidP="007D0F56">
            <w:pPr>
              <w:pStyle w:val="BlockText"/>
              <w:ind w:left="0"/>
            </w:pPr>
            <w:r>
              <w:t>Version 1.1</w:t>
            </w:r>
          </w:p>
        </w:tc>
        <w:tc>
          <w:tcPr>
            <w:tcW w:w="1492" w:type="dxa"/>
          </w:tcPr>
          <w:p w:rsidR="00171341" w:rsidRDefault="004F06D0" w:rsidP="009A4F6E">
            <w:pPr>
              <w:pStyle w:val="BlockText"/>
              <w:ind w:left="0" w:right="27"/>
            </w:pPr>
            <w:r>
              <w:t>23/08/2010</w:t>
            </w:r>
          </w:p>
        </w:tc>
        <w:tc>
          <w:tcPr>
            <w:tcW w:w="2412" w:type="dxa"/>
          </w:tcPr>
          <w:p w:rsidR="00171341" w:rsidRDefault="004F06D0" w:rsidP="007D0F56">
            <w:pPr>
              <w:pStyle w:val="BlockText"/>
              <w:ind w:left="0"/>
            </w:pPr>
            <w:r>
              <w:t>Matthew Clayton</w:t>
            </w:r>
          </w:p>
        </w:tc>
        <w:tc>
          <w:tcPr>
            <w:tcW w:w="3145" w:type="dxa"/>
          </w:tcPr>
          <w:p w:rsidR="00171341" w:rsidRDefault="004F06D0" w:rsidP="004C6785">
            <w:pPr>
              <w:pStyle w:val="BlockText"/>
              <w:ind w:left="0"/>
            </w:pPr>
            <w:r>
              <w:t>Removed excess details</w:t>
            </w:r>
            <w:r w:rsidR="004C6785">
              <w:t>.</w:t>
            </w:r>
            <w:bookmarkStart w:id="2" w:name="_GoBack"/>
            <w:bookmarkEnd w:id="2"/>
          </w:p>
        </w:tc>
      </w:tr>
      <w:tr w:rsidR="009A4F6E" w:rsidTr="004F06D0">
        <w:tc>
          <w:tcPr>
            <w:tcW w:w="2335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492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2412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3145" w:type="dxa"/>
          </w:tcPr>
          <w:p w:rsidR="00171341" w:rsidRDefault="00171341" w:rsidP="007D0F56">
            <w:pPr>
              <w:pStyle w:val="BlockText"/>
              <w:ind w:left="0"/>
            </w:pPr>
          </w:p>
        </w:tc>
      </w:tr>
    </w:tbl>
    <w:p w:rsidR="00C0632B" w:rsidRDefault="00181ABC" w:rsidP="00E04C75">
      <w:pPr>
        <w:pStyle w:val="Heading1"/>
      </w:pPr>
      <w:r>
        <w:br w:type="page"/>
      </w:r>
      <w:r>
        <w:lastRenderedPageBreak/>
        <w:t>Policy Statement</w:t>
      </w:r>
    </w:p>
    <w:p w:rsidR="00EF1DC2" w:rsidRDefault="00DC5645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policy is designed to outline standards for applications used within the QUT environment specifically installed and used </w:t>
      </w:r>
      <w:r w:rsidR="00EF1DC2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the Windows 7 operating system environment. </w:t>
      </w:r>
    </w:p>
    <w:p w:rsidR="00DC5645" w:rsidRDefault="00DC5645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covers</w:t>
      </w:r>
      <w:r w:rsidR="00EF1DC2">
        <w:rPr>
          <w:rFonts w:ascii="Arial" w:hAnsi="Arial" w:cs="Arial"/>
          <w:sz w:val="20"/>
          <w:szCs w:val="20"/>
        </w:rPr>
        <w:t xml:space="preserve"> standards for the following and is based on Windows 7 Enterprise Edition (64 bit)</w:t>
      </w:r>
    </w:p>
    <w:p w:rsidR="00DC5645" w:rsidRPr="00DC5645" w:rsidRDefault="00DC5645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C5645">
        <w:rPr>
          <w:rFonts w:ascii="Arial" w:hAnsi="Arial" w:cs="Arial"/>
          <w:sz w:val="20"/>
          <w:szCs w:val="20"/>
        </w:rPr>
        <w:t>Development standards,</w:t>
      </w:r>
    </w:p>
    <w:p w:rsidR="00DC5645" w:rsidRPr="00DC5645" w:rsidRDefault="00DC5645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C5645">
        <w:rPr>
          <w:rFonts w:ascii="Arial" w:hAnsi="Arial" w:cs="Arial"/>
          <w:sz w:val="20"/>
          <w:szCs w:val="20"/>
        </w:rPr>
        <w:t>Installation standards</w:t>
      </w:r>
    </w:p>
    <w:p w:rsidR="00DC5645" w:rsidRPr="00DC5645" w:rsidRDefault="00EF1DC2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P</w:t>
      </w:r>
      <w:r w:rsidR="00DC5645" w:rsidRPr="00DC5645">
        <w:rPr>
          <w:rFonts w:ascii="Arial" w:hAnsi="Arial" w:cs="Arial"/>
          <w:sz w:val="20"/>
          <w:szCs w:val="20"/>
        </w:rPr>
        <w:t>ackaging</w:t>
      </w:r>
      <w:r w:rsidR="00DC5645">
        <w:rPr>
          <w:rFonts w:ascii="Arial" w:hAnsi="Arial" w:cs="Arial"/>
          <w:sz w:val="20"/>
          <w:szCs w:val="20"/>
        </w:rPr>
        <w:t xml:space="preserve"> Standards</w:t>
      </w:r>
    </w:p>
    <w:p w:rsidR="00DC5645" w:rsidRDefault="00EF1DC2" w:rsidP="00DC564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 </w:t>
      </w:r>
      <w:r w:rsidR="00DC5645" w:rsidRPr="00DC5645">
        <w:rPr>
          <w:rFonts w:ascii="Arial" w:hAnsi="Arial" w:cs="Arial"/>
          <w:sz w:val="20"/>
          <w:szCs w:val="20"/>
        </w:rPr>
        <w:t>Storage locations</w:t>
      </w:r>
      <w:r>
        <w:rPr>
          <w:rFonts w:ascii="Arial" w:hAnsi="Arial" w:cs="Arial"/>
          <w:sz w:val="20"/>
          <w:szCs w:val="20"/>
        </w:rPr>
        <w:t xml:space="preserve"> (virtual)</w:t>
      </w:r>
    </w:p>
    <w:p w:rsidR="00EF1DC2" w:rsidRPr="00EF1DC2" w:rsidRDefault="00EF1DC2" w:rsidP="00EF1DC2">
      <w:pPr>
        <w:rPr>
          <w:rFonts w:ascii="Arial" w:hAnsi="Arial" w:cs="Arial"/>
          <w:sz w:val="20"/>
          <w:szCs w:val="20"/>
        </w:rPr>
      </w:pPr>
    </w:p>
    <w:p w:rsidR="001B05F6" w:rsidRPr="001B05F6" w:rsidRDefault="001B05F6" w:rsidP="001B05F6">
      <w:pPr>
        <w:rPr>
          <w:lang w:eastAsia="en-US"/>
        </w:rPr>
      </w:pPr>
    </w:p>
    <w:p w:rsidR="001B05F6" w:rsidRDefault="001B05F6" w:rsidP="00C0632B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pStyle w:val="Heading1"/>
      </w:pPr>
      <w:r>
        <w:t>Affected Services</w:t>
      </w:r>
    </w:p>
    <w:p w:rsidR="00181ABC" w:rsidRDefault="00EF1DC2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 is currently the service owners of the </w:t>
      </w:r>
      <w:proofErr w:type="spellStart"/>
      <w:r>
        <w:rPr>
          <w:rFonts w:ascii="Arial" w:hAnsi="Arial" w:cs="Arial"/>
          <w:sz w:val="20"/>
          <w:szCs w:val="20"/>
        </w:rPr>
        <w:t>Estore</w:t>
      </w:r>
      <w:proofErr w:type="spellEnd"/>
      <w:r>
        <w:rPr>
          <w:rFonts w:ascii="Arial" w:hAnsi="Arial" w:cs="Arial"/>
          <w:sz w:val="20"/>
          <w:szCs w:val="20"/>
        </w:rPr>
        <w:t xml:space="preserve"> cluster service on which all software is to be stored. Any changes to this policy would affect users of this service and also the security rights to this location.</w:t>
      </w:r>
    </w:p>
    <w:p w:rsidR="00F05D0D" w:rsidRDefault="00F05D0D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CSI manage SCCM services, any changes to this service or move to an alternative service will affect this policy and all users of this service. </w:t>
      </w:r>
    </w:p>
    <w:p w:rsidR="00EF1DC2" w:rsidRDefault="00EF1DC2" w:rsidP="00181ABC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Definitions</w:t>
      </w: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proofErr w:type="gramStart"/>
      <w:r w:rsidRPr="00610A2E">
        <w:rPr>
          <w:rFonts w:ascii="Arial" w:hAnsi="Arial" w:cs="Arial"/>
          <w:sz w:val="20"/>
          <w:szCs w:val="20"/>
        </w:rPr>
        <w:t>SOE – Standard operating environment – operating system, core applications and common settings.</w:t>
      </w:r>
      <w:proofErr w:type="gramEnd"/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610A2E">
        <w:rPr>
          <w:rFonts w:ascii="Arial" w:hAnsi="Arial" w:cs="Arial"/>
          <w:sz w:val="20"/>
          <w:szCs w:val="20"/>
        </w:rPr>
        <w:t xml:space="preserve">SCCM client – an agent </w:t>
      </w:r>
      <w:proofErr w:type="gramStart"/>
      <w:r w:rsidR="00610A2E" w:rsidRPr="00610A2E">
        <w:rPr>
          <w:rFonts w:ascii="Arial" w:hAnsi="Arial" w:cs="Arial"/>
          <w:sz w:val="20"/>
          <w:szCs w:val="20"/>
        </w:rPr>
        <w:t>wh</w:t>
      </w:r>
      <w:r w:rsidR="00610A2E">
        <w:rPr>
          <w:rFonts w:ascii="Arial" w:hAnsi="Arial" w:cs="Arial"/>
          <w:sz w:val="20"/>
          <w:szCs w:val="20"/>
        </w:rPr>
        <w:t>ich</w:t>
      </w:r>
      <w:proofErr w:type="gramEnd"/>
      <w:r w:rsidRPr="00610A2E">
        <w:rPr>
          <w:rFonts w:ascii="Arial" w:hAnsi="Arial" w:cs="Arial"/>
          <w:sz w:val="20"/>
          <w:szCs w:val="20"/>
        </w:rPr>
        <w:t xml:space="preserve"> allows Windows PCs to be managed remotely including delivery of applications and security updates</w:t>
      </w: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610A2E">
        <w:rPr>
          <w:rFonts w:ascii="Arial" w:hAnsi="Arial" w:cs="Arial"/>
          <w:sz w:val="20"/>
          <w:szCs w:val="20"/>
        </w:rPr>
        <w:t>ITS (Information Technology Services</w:t>
      </w:r>
      <w:r w:rsidR="00610A2E">
        <w:rPr>
          <w:rFonts w:ascii="Arial" w:hAnsi="Arial" w:cs="Arial"/>
          <w:sz w:val="20"/>
          <w:szCs w:val="20"/>
        </w:rPr>
        <w:t>)</w:t>
      </w:r>
      <w:r w:rsidRPr="00610A2E">
        <w:rPr>
          <w:rFonts w:ascii="Arial" w:hAnsi="Arial" w:cs="Arial"/>
          <w:sz w:val="20"/>
          <w:szCs w:val="20"/>
        </w:rPr>
        <w:t xml:space="preserve"> – A Department within the university that </w:t>
      </w:r>
      <w:r w:rsidR="005515A2">
        <w:rPr>
          <w:rFonts w:ascii="Arial" w:hAnsi="Arial" w:cs="Arial"/>
          <w:sz w:val="20"/>
          <w:szCs w:val="20"/>
        </w:rPr>
        <w:t>provide</w:t>
      </w:r>
      <w:r w:rsidR="00610A2E">
        <w:rPr>
          <w:rFonts w:ascii="Arial" w:hAnsi="Arial" w:cs="Arial"/>
          <w:sz w:val="20"/>
          <w:szCs w:val="20"/>
        </w:rPr>
        <w:t xml:space="preserve"> the</w:t>
      </w:r>
      <w:r w:rsidRPr="00610A2E">
        <w:rPr>
          <w:rFonts w:ascii="Arial" w:hAnsi="Arial" w:cs="Arial"/>
          <w:sz w:val="20"/>
          <w:szCs w:val="20"/>
        </w:rPr>
        <w:t xml:space="preserve"> IT infrastructure and centrally hosted university IT services</w:t>
      </w: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610A2E">
        <w:rPr>
          <w:rFonts w:ascii="Arial" w:hAnsi="Arial" w:cs="Arial"/>
          <w:sz w:val="20"/>
          <w:szCs w:val="20"/>
        </w:rPr>
        <w:t xml:space="preserve">CSI (Client Systems Infrastructure) – A group within ITS </w:t>
      </w:r>
      <w:r w:rsidR="00610A2E">
        <w:rPr>
          <w:rFonts w:ascii="Arial" w:hAnsi="Arial" w:cs="Arial"/>
          <w:sz w:val="20"/>
          <w:szCs w:val="20"/>
        </w:rPr>
        <w:t>which</w:t>
      </w:r>
      <w:r w:rsidRPr="00610A2E">
        <w:rPr>
          <w:rFonts w:ascii="Arial" w:hAnsi="Arial" w:cs="Arial"/>
          <w:sz w:val="20"/>
          <w:szCs w:val="20"/>
        </w:rPr>
        <w:t xml:space="preserve"> maintain</w:t>
      </w:r>
      <w:r w:rsidR="00610A2E">
        <w:rPr>
          <w:rFonts w:ascii="Arial" w:hAnsi="Arial" w:cs="Arial"/>
          <w:sz w:val="20"/>
          <w:szCs w:val="20"/>
        </w:rPr>
        <w:t>s</w:t>
      </w:r>
      <w:r w:rsidRPr="00610A2E">
        <w:rPr>
          <w:rFonts w:ascii="Arial" w:hAnsi="Arial" w:cs="Arial"/>
          <w:sz w:val="20"/>
          <w:szCs w:val="20"/>
        </w:rPr>
        <w:t xml:space="preserve"> the university Standard Operating Environment. Manage Software and Security Deployment</w:t>
      </w: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610A2E">
        <w:rPr>
          <w:rFonts w:ascii="Arial" w:hAnsi="Arial" w:cs="Arial"/>
          <w:sz w:val="20"/>
          <w:szCs w:val="20"/>
        </w:rPr>
        <w:t>LETS (Learning Environments and Technology Services) – A department within the university that provides client facing IT services</w:t>
      </w: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Pr="00610A2E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proofErr w:type="spellStart"/>
      <w:r w:rsidRPr="00610A2E">
        <w:rPr>
          <w:rFonts w:ascii="Arial" w:hAnsi="Arial" w:cs="Arial"/>
          <w:sz w:val="20"/>
          <w:szCs w:val="20"/>
        </w:rPr>
        <w:t>EStore</w:t>
      </w:r>
      <w:proofErr w:type="spellEnd"/>
      <w:r w:rsidRPr="00610A2E">
        <w:rPr>
          <w:rFonts w:ascii="Arial" w:hAnsi="Arial" w:cs="Arial"/>
          <w:sz w:val="20"/>
          <w:szCs w:val="20"/>
        </w:rPr>
        <w:t xml:space="preserve"> – QUT’s Central File Repository</w:t>
      </w:r>
    </w:p>
    <w:p w:rsidR="00610A2E" w:rsidRPr="00610A2E" w:rsidRDefault="00610A2E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610A2E" w:rsidRPr="00610A2E" w:rsidRDefault="00610A2E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610A2E">
        <w:rPr>
          <w:rFonts w:ascii="Arial" w:hAnsi="Arial" w:cs="Arial"/>
          <w:sz w:val="20"/>
          <w:szCs w:val="20"/>
        </w:rPr>
        <w:t>ESS (Enterprise Systems Service)</w:t>
      </w:r>
      <w:r w:rsidR="005515A2">
        <w:rPr>
          <w:rFonts w:ascii="Arial" w:hAnsi="Arial" w:cs="Arial"/>
          <w:sz w:val="20"/>
          <w:szCs w:val="20"/>
        </w:rPr>
        <w:t xml:space="preserve"> </w:t>
      </w:r>
      <w:r w:rsidR="005515A2" w:rsidRPr="00610A2E">
        <w:rPr>
          <w:rFonts w:ascii="Arial" w:hAnsi="Arial" w:cs="Arial"/>
          <w:sz w:val="20"/>
          <w:szCs w:val="20"/>
        </w:rPr>
        <w:t>A Department within the university</w:t>
      </w:r>
    </w:p>
    <w:p w:rsidR="00E635A0" w:rsidRDefault="00E635A0" w:rsidP="00E635A0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E635A0" w:rsidRDefault="00E635A0" w:rsidP="00181ABC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Roles/ Responsibilities/Guidelines</w:t>
      </w:r>
    </w:p>
    <w:p w:rsidR="00181ABC" w:rsidRPr="00F05D0D" w:rsidRDefault="00AD0143" w:rsidP="00AD0143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F05D0D">
        <w:rPr>
          <w:rFonts w:ascii="Arial" w:hAnsi="Arial" w:cs="Arial"/>
          <w:b/>
          <w:sz w:val="20"/>
          <w:szCs w:val="20"/>
        </w:rPr>
        <w:t>Software Storage</w:t>
      </w:r>
      <w:r w:rsidR="00604677" w:rsidRPr="00F05D0D">
        <w:rPr>
          <w:rFonts w:ascii="Arial" w:hAnsi="Arial" w:cs="Arial"/>
          <w:b/>
          <w:sz w:val="20"/>
          <w:szCs w:val="20"/>
        </w:rPr>
        <w:t xml:space="preserve"> and D</w:t>
      </w:r>
      <w:r w:rsidR="00F96914" w:rsidRPr="00F05D0D">
        <w:rPr>
          <w:rFonts w:ascii="Arial" w:hAnsi="Arial" w:cs="Arial"/>
          <w:b/>
          <w:sz w:val="20"/>
          <w:szCs w:val="20"/>
        </w:rPr>
        <w:t>ocumentation</w:t>
      </w:r>
    </w:p>
    <w:p w:rsidR="00604677" w:rsidRPr="00B232D6" w:rsidRDefault="00604677" w:rsidP="00604677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B232D6">
        <w:rPr>
          <w:rFonts w:ascii="Arial" w:hAnsi="Arial" w:cs="Arial"/>
          <w:sz w:val="20"/>
          <w:szCs w:val="20"/>
        </w:rPr>
        <w:t xml:space="preserve">Definitive </w:t>
      </w:r>
      <w:r w:rsidR="005515A2">
        <w:rPr>
          <w:rFonts w:ascii="Arial" w:hAnsi="Arial" w:cs="Arial"/>
          <w:sz w:val="20"/>
          <w:szCs w:val="20"/>
        </w:rPr>
        <w:t>Software</w:t>
      </w:r>
      <w:r w:rsidRPr="00B232D6">
        <w:rPr>
          <w:rFonts w:ascii="Arial" w:hAnsi="Arial" w:cs="Arial"/>
          <w:sz w:val="20"/>
          <w:szCs w:val="20"/>
        </w:rPr>
        <w:t xml:space="preserve"> library in accordance with ITIL standards</w:t>
      </w:r>
      <w:r w:rsidR="00B232D6" w:rsidRPr="00B232D6">
        <w:rPr>
          <w:rFonts w:ascii="Arial" w:hAnsi="Arial" w:cs="Arial"/>
          <w:sz w:val="20"/>
          <w:szCs w:val="20"/>
        </w:rPr>
        <w:t xml:space="preserve"> </w:t>
      </w:r>
      <w:r w:rsidR="00B232D6">
        <w:rPr>
          <w:rFonts w:ascii="Arial" w:hAnsi="Arial" w:cs="Arial"/>
          <w:sz w:val="20"/>
          <w:szCs w:val="20"/>
        </w:rPr>
        <w:t>has been e</w:t>
      </w:r>
      <w:r w:rsidR="00B232D6" w:rsidRPr="00B232D6">
        <w:rPr>
          <w:rFonts w:ascii="Arial" w:hAnsi="Arial" w:cs="Arial"/>
          <w:sz w:val="20"/>
          <w:szCs w:val="20"/>
        </w:rPr>
        <w:t>stablish</w:t>
      </w:r>
      <w:r w:rsidR="00B232D6">
        <w:rPr>
          <w:rFonts w:ascii="Arial" w:hAnsi="Arial" w:cs="Arial"/>
          <w:sz w:val="20"/>
          <w:szCs w:val="20"/>
        </w:rPr>
        <w:t>ed</w:t>
      </w:r>
      <w:r w:rsidRPr="00B232D6">
        <w:rPr>
          <w:rFonts w:ascii="Arial" w:hAnsi="Arial" w:cs="Arial"/>
          <w:sz w:val="20"/>
          <w:szCs w:val="20"/>
        </w:rPr>
        <w:t>.</w:t>
      </w:r>
    </w:p>
    <w:p w:rsidR="00604677" w:rsidRPr="00B232D6" w:rsidRDefault="00604677" w:rsidP="00604677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B232D6">
        <w:rPr>
          <w:rFonts w:ascii="Arial" w:hAnsi="Arial" w:cs="Arial"/>
          <w:sz w:val="20"/>
          <w:szCs w:val="20"/>
        </w:rPr>
        <w:t xml:space="preserve">Applications will be moved and </w:t>
      </w:r>
      <w:r w:rsidR="00B232D6" w:rsidRPr="00B232D6">
        <w:rPr>
          <w:rFonts w:ascii="Arial" w:hAnsi="Arial" w:cs="Arial"/>
          <w:sz w:val="20"/>
          <w:szCs w:val="20"/>
        </w:rPr>
        <w:t>stored</w:t>
      </w:r>
      <w:r w:rsidRPr="00B232D6">
        <w:rPr>
          <w:rFonts w:ascii="Arial" w:hAnsi="Arial" w:cs="Arial"/>
          <w:sz w:val="20"/>
          <w:szCs w:val="20"/>
        </w:rPr>
        <w:t xml:space="preserve"> into one central area </w:t>
      </w:r>
      <w:r w:rsidR="00114B73">
        <w:rPr>
          <w:rFonts w:ascii="Arial" w:hAnsi="Arial" w:cs="Arial"/>
          <w:sz w:val="20"/>
          <w:szCs w:val="20"/>
        </w:rPr>
        <w:t>which is governed by a process document</w:t>
      </w:r>
      <w:r w:rsidRPr="00B232D6">
        <w:rPr>
          <w:rFonts w:ascii="Arial" w:hAnsi="Arial" w:cs="Arial"/>
          <w:sz w:val="20"/>
          <w:szCs w:val="20"/>
        </w:rPr>
        <w:t>.</w:t>
      </w:r>
    </w:p>
    <w:p w:rsidR="00604677" w:rsidRPr="00B232D6" w:rsidRDefault="00604677" w:rsidP="00604677">
      <w:pPr>
        <w:pStyle w:val="ListParagraph"/>
        <w:ind w:left="3600"/>
        <w:rPr>
          <w:rFonts w:ascii="Arial" w:hAnsi="Arial" w:cs="Arial"/>
          <w:sz w:val="20"/>
          <w:szCs w:val="20"/>
        </w:rPr>
      </w:pPr>
    </w:p>
    <w:p w:rsidR="00604677" w:rsidRPr="00B232D6" w:rsidRDefault="00604677" w:rsidP="00604677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B232D6">
        <w:rPr>
          <w:rFonts w:ascii="Arial" w:hAnsi="Arial" w:cs="Arial"/>
          <w:sz w:val="20"/>
          <w:szCs w:val="20"/>
        </w:rPr>
        <w:br/>
      </w:r>
    </w:p>
    <w:p w:rsidR="00604677" w:rsidRPr="00B232D6" w:rsidRDefault="00604677" w:rsidP="00604677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B232D6">
        <w:rPr>
          <w:rFonts w:ascii="Arial" w:hAnsi="Arial" w:cs="Arial"/>
          <w:sz w:val="20"/>
          <w:szCs w:val="20"/>
        </w:rPr>
        <w:t>To allow staff to efficiently navigate</w:t>
      </w:r>
      <w:r w:rsidR="00982979">
        <w:rPr>
          <w:rFonts w:ascii="Arial" w:hAnsi="Arial" w:cs="Arial"/>
          <w:sz w:val="20"/>
          <w:szCs w:val="20"/>
        </w:rPr>
        <w:t>,</w:t>
      </w:r>
      <w:r w:rsidRPr="00B232D6">
        <w:rPr>
          <w:rFonts w:ascii="Arial" w:hAnsi="Arial" w:cs="Arial"/>
          <w:sz w:val="20"/>
          <w:szCs w:val="20"/>
        </w:rPr>
        <w:t xml:space="preserve"> a software catalogue has been created.</w:t>
      </w:r>
    </w:p>
    <w:p w:rsidR="00604677" w:rsidRPr="00B232D6" w:rsidRDefault="00604677" w:rsidP="00604677">
      <w:pPr>
        <w:rPr>
          <w:rFonts w:ascii="Arial" w:hAnsi="Arial" w:cs="Arial"/>
          <w:sz w:val="20"/>
          <w:szCs w:val="20"/>
        </w:rPr>
      </w:pPr>
    </w:p>
    <w:p w:rsidR="00604677" w:rsidRPr="00B232D6" w:rsidRDefault="00604677" w:rsidP="00604677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B232D6">
        <w:rPr>
          <w:rFonts w:ascii="Arial" w:hAnsi="Arial" w:cs="Arial"/>
          <w:sz w:val="20"/>
          <w:szCs w:val="20"/>
        </w:rPr>
        <w:t>Software Documentation</w:t>
      </w:r>
      <w:r w:rsidR="00B232D6">
        <w:rPr>
          <w:rFonts w:ascii="Arial" w:hAnsi="Arial" w:cs="Arial"/>
          <w:sz w:val="20"/>
          <w:szCs w:val="20"/>
        </w:rPr>
        <w:t xml:space="preserve"> relating to each application</w:t>
      </w:r>
      <w:r w:rsidRPr="00B232D6">
        <w:rPr>
          <w:rFonts w:ascii="Arial" w:hAnsi="Arial" w:cs="Arial"/>
          <w:sz w:val="20"/>
          <w:szCs w:val="20"/>
        </w:rPr>
        <w:t xml:space="preserve"> will be created and stored in the Development folder and also stored in the Technical Services Library.</w:t>
      </w:r>
    </w:p>
    <w:p w:rsidR="00604677" w:rsidRPr="00B232D6" w:rsidRDefault="00114B73" w:rsidP="00604677">
      <w:pPr>
        <w:pStyle w:val="ListParagraph"/>
        <w:ind w:left="2880"/>
        <w:rPr>
          <w:rFonts w:ascii="Arial" w:hAnsi="Arial" w:cs="Arial"/>
          <w:sz w:val="20"/>
          <w:szCs w:val="20"/>
        </w:rPr>
      </w:pPr>
      <w:hyperlink r:id="rId8" w:history="1">
        <w:r w:rsidR="00604677" w:rsidRPr="00B232D6">
          <w:rPr>
            <w:rStyle w:val="Hyperlink"/>
            <w:rFonts w:ascii="Arial" w:hAnsi="Arial" w:cs="Arial"/>
            <w:sz w:val="20"/>
            <w:szCs w:val="20"/>
          </w:rPr>
          <w:t>https://tsl.qut.edu.au/default.aspx</w:t>
        </w:r>
      </w:hyperlink>
      <w:r w:rsidR="00604677" w:rsidRPr="00B232D6">
        <w:rPr>
          <w:rFonts w:ascii="Arial" w:hAnsi="Arial" w:cs="Arial"/>
          <w:sz w:val="20"/>
          <w:szCs w:val="20"/>
        </w:rPr>
        <w:t xml:space="preserve"> </w:t>
      </w:r>
    </w:p>
    <w:p w:rsidR="00604677" w:rsidRPr="00B232D6" w:rsidRDefault="00604677" w:rsidP="00F05D0D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FD4EA2" w:rsidRPr="00982979" w:rsidRDefault="0068329B" w:rsidP="0098297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05D0D">
        <w:rPr>
          <w:rFonts w:ascii="Arial" w:hAnsi="Arial" w:cs="Arial"/>
          <w:b/>
          <w:sz w:val="20"/>
          <w:szCs w:val="20"/>
        </w:rPr>
        <w:t>Applications Packaging</w:t>
      </w:r>
      <w:r w:rsidR="00FD4EA2">
        <w:rPr>
          <w:rFonts w:ascii="Arial" w:hAnsi="Arial" w:cs="Arial"/>
          <w:sz w:val="20"/>
          <w:szCs w:val="20"/>
        </w:rPr>
        <w:br/>
      </w:r>
      <w:proofErr w:type="gramStart"/>
      <w:r w:rsidR="0060328B" w:rsidRPr="00B232D6">
        <w:rPr>
          <w:rFonts w:ascii="Arial" w:hAnsi="Arial" w:cs="Arial"/>
          <w:sz w:val="20"/>
          <w:szCs w:val="20"/>
        </w:rPr>
        <w:t>All</w:t>
      </w:r>
      <w:proofErr w:type="gramEnd"/>
      <w:r w:rsidR="0060328B" w:rsidRPr="00B232D6">
        <w:rPr>
          <w:rFonts w:ascii="Arial" w:hAnsi="Arial" w:cs="Arial"/>
          <w:sz w:val="20"/>
          <w:szCs w:val="20"/>
        </w:rPr>
        <w:t xml:space="preserve"> software used within the university will go through a development process to ensure effective QA has been tested on all applications.</w:t>
      </w:r>
      <w:r w:rsidR="00F05D0D">
        <w:rPr>
          <w:rFonts w:ascii="Arial" w:hAnsi="Arial" w:cs="Arial"/>
          <w:sz w:val="20"/>
          <w:szCs w:val="20"/>
        </w:rPr>
        <w:t xml:space="preserve">  </w:t>
      </w:r>
    </w:p>
    <w:p w:rsidR="0060328B" w:rsidRPr="00FD4EA2" w:rsidRDefault="00831FF5" w:rsidP="00FD4EA2">
      <w:pPr>
        <w:ind w:left="3960"/>
        <w:rPr>
          <w:rFonts w:ascii="Arial" w:hAnsi="Arial" w:cs="Arial"/>
          <w:sz w:val="20"/>
          <w:szCs w:val="20"/>
        </w:rPr>
      </w:pPr>
      <w:r w:rsidRPr="00FD4EA2">
        <w:rPr>
          <w:rFonts w:ascii="Arial" w:hAnsi="Arial" w:cs="Arial"/>
          <w:sz w:val="20"/>
          <w:szCs w:val="20"/>
        </w:rPr>
        <w:br/>
      </w:r>
    </w:p>
    <w:p w:rsidR="00FD4EA2" w:rsidRPr="00F05D0D" w:rsidRDefault="0068329B" w:rsidP="00FD4EA2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F05D0D">
        <w:rPr>
          <w:rFonts w:ascii="Arial" w:hAnsi="Arial" w:cs="Arial"/>
          <w:b/>
          <w:sz w:val="20"/>
          <w:szCs w:val="20"/>
        </w:rPr>
        <w:t xml:space="preserve">Deployment and </w:t>
      </w:r>
      <w:r w:rsidR="00FD4EA2" w:rsidRPr="00F05D0D">
        <w:rPr>
          <w:rFonts w:ascii="Arial" w:hAnsi="Arial" w:cs="Arial"/>
          <w:b/>
          <w:sz w:val="20"/>
          <w:szCs w:val="20"/>
        </w:rPr>
        <w:t>I</w:t>
      </w:r>
      <w:r w:rsidRPr="00F05D0D">
        <w:rPr>
          <w:rFonts w:ascii="Arial" w:hAnsi="Arial" w:cs="Arial"/>
          <w:b/>
          <w:sz w:val="20"/>
          <w:szCs w:val="20"/>
        </w:rPr>
        <w:t>nstallation</w:t>
      </w:r>
    </w:p>
    <w:p w:rsidR="00FD4EA2" w:rsidRDefault="00FD4EA2" w:rsidP="00FD4EA2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FD4EA2">
        <w:rPr>
          <w:rFonts w:ascii="Arial" w:hAnsi="Arial" w:cs="Arial"/>
          <w:sz w:val="20"/>
          <w:szCs w:val="20"/>
        </w:rPr>
        <w:t>Deployment methods</w:t>
      </w:r>
    </w:p>
    <w:p w:rsidR="00F05D0D" w:rsidRDefault="00982979" w:rsidP="00F05D0D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F05D0D">
        <w:rPr>
          <w:rFonts w:ascii="Arial" w:hAnsi="Arial" w:cs="Arial"/>
          <w:sz w:val="20"/>
          <w:szCs w:val="20"/>
        </w:rPr>
        <w:t>Deployed</w:t>
      </w:r>
      <w:r>
        <w:rPr>
          <w:rFonts w:ascii="Arial" w:hAnsi="Arial" w:cs="Arial"/>
          <w:sz w:val="20"/>
          <w:szCs w:val="20"/>
        </w:rPr>
        <w:t xml:space="preserve"> package</w:t>
      </w:r>
      <w:r w:rsidRPr="00F05D0D">
        <w:rPr>
          <w:rFonts w:ascii="Arial" w:hAnsi="Arial" w:cs="Arial"/>
          <w:sz w:val="20"/>
          <w:szCs w:val="20"/>
        </w:rPr>
        <w:t xml:space="preserve"> via SCCM </w:t>
      </w:r>
    </w:p>
    <w:p w:rsidR="00FD4EA2" w:rsidRPr="00F05D0D" w:rsidRDefault="00982979" w:rsidP="00F05D0D">
      <w:pPr>
        <w:pStyle w:val="ListParagraph"/>
        <w:numPr>
          <w:ilvl w:val="2"/>
          <w:numId w:val="12"/>
        </w:numPr>
        <w:rPr>
          <w:rFonts w:ascii="Arial" w:hAnsi="Arial" w:cs="Arial"/>
          <w:sz w:val="20"/>
          <w:szCs w:val="20"/>
        </w:rPr>
      </w:pPr>
      <w:r w:rsidRPr="00F05D0D">
        <w:rPr>
          <w:rFonts w:ascii="Arial" w:hAnsi="Arial" w:cs="Arial"/>
          <w:sz w:val="20"/>
          <w:szCs w:val="20"/>
        </w:rPr>
        <w:t>Manual install</w:t>
      </w:r>
    </w:p>
    <w:p w:rsidR="00FD4EA2" w:rsidRDefault="00FD4EA2" w:rsidP="00FD4EA2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F05D0D">
        <w:rPr>
          <w:rFonts w:ascii="Arial" w:hAnsi="Arial" w:cs="Arial"/>
          <w:sz w:val="20"/>
          <w:szCs w:val="20"/>
        </w:rPr>
        <w:t>Applications will be attempted to be packaged if the application is to be installed on multiple computers</w:t>
      </w:r>
      <w:r w:rsidR="00F05D0D">
        <w:rPr>
          <w:rFonts w:ascii="Arial" w:hAnsi="Arial" w:cs="Arial"/>
          <w:sz w:val="20"/>
          <w:szCs w:val="20"/>
        </w:rPr>
        <w:t>.</w:t>
      </w:r>
    </w:p>
    <w:p w:rsidR="00FD4EA2" w:rsidRDefault="00FD4EA2" w:rsidP="00FD4EA2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with an associated site license will be made available to all QUT PC’s for automated install</w:t>
      </w:r>
      <w:r w:rsidR="00F05D0D">
        <w:rPr>
          <w:rFonts w:ascii="Arial" w:hAnsi="Arial" w:cs="Arial"/>
          <w:sz w:val="20"/>
          <w:szCs w:val="20"/>
        </w:rPr>
        <w:t>.</w:t>
      </w:r>
    </w:p>
    <w:p w:rsidR="00AD0143" w:rsidRDefault="00FD4EA2" w:rsidP="00EF1DC2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with an associated license to an entire division/faculty or sub area will be made available to all machines that fall within the above mentioned cost code.</w:t>
      </w:r>
    </w:p>
    <w:p w:rsidR="00F05D0D" w:rsidRDefault="0056605E" w:rsidP="00F05D0D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application</w:t>
      </w:r>
      <w:r w:rsidR="00F05D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within Production</w:t>
      </w:r>
      <w:r w:rsidR="004579D5">
        <w:rPr>
          <w:rFonts w:ascii="Arial" w:hAnsi="Arial" w:cs="Arial"/>
          <w:sz w:val="20"/>
          <w:szCs w:val="20"/>
        </w:rPr>
        <w:t xml:space="preserve"> </w:t>
      </w:r>
      <w:r w:rsidR="00F05D0D">
        <w:rPr>
          <w:rFonts w:ascii="Arial" w:hAnsi="Arial" w:cs="Arial"/>
          <w:sz w:val="20"/>
          <w:szCs w:val="20"/>
        </w:rPr>
        <w:t xml:space="preserve">folder </w:t>
      </w:r>
      <w:r w:rsidR="004579D5">
        <w:rPr>
          <w:rFonts w:ascii="Arial" w:hAnsi="Arial" w:cs="Arial"/>
          <w:sz w:val="20"/>
          <w:szCs w:val="20"/>
        </w:rPr>
        <w:t>(</w:t>
      </w:r>
      <w:hyperlink r:id="rId9" w:history="1">
        <w:r w:rsidR="004579D5" w:rsidRPr="00840B5C">
          <w:rPr>
            <w:rStyle w:val="Hyperlink"/>
            <w:rFonts w:ascii="Arial" w:hAnsi="Arial" w:cs="Arial"/>
            <w:sz w:val="20"/>
            <w:szCs w:val="20"/>
          </w:rPr>
          <w:t>\\soe\dsl\prod</w:t>
        </w:r>
      </w:hyperlink>
      <w:r w:rsidR="004579D5">
        <w:rPr>
          <w:rFonts w:ascii="Arial" w:hAnsi="Arial" w:cs="Arial"/>
          <w:sz w:val="20"/>
          <w:szCs w:val="20"/>
        </w:rPr>
        <w:t>) are approved</w:t>
      </w:r>
      <w:r w:rsidR="00F05D0D">
        <w:rPr>
          <w:rFonts w:ascii="Arial" w:hAnsi="Arial" w:cs="Arial"/>
          <w:sz w:val="20"/>
          <w:szCs w:val="20"/>
        </w:rPr>
        <w:t xml:space="preserve"> or have passed QA</w:t>
      </w:r>
      <w:r w:rsidR="004579D5">
        <w:rPr>
          <w:rFonts w:ascii="Arial" w:hAnsi="Arial" w:cs="Arial"/>
          <w:sz w:val="20"/>
          <w:szCs w:val="20"/>
        </w:rPr>
        <w:t xml:space="preserve"> for installation into the production environment.</w:t>
      </w:r>
    </w:p>
    <w:p w:rsidR="00181ABC" w:rsidRPr="00C0632B" w:rsidRDefault="00181ABC" w:rsidP="00181ABC">
      <w:pPr>
        <w:rPr>
          <w:lang w:eastAsia="en-US"/>
        </w:rPr>
      </w:pPr>
    </w:p>
    <w:p w:rsidR="00C0632B" w:rsidRDefault="00C0632B" w:rsidP="00E04C75">
      <w:pPr>
        <w:pStyle w:val="Heading1"/>
      </w:pPr>
      <w:r>
        <w:t>Related Documents</w:t>
      </w:r>
    </w:p>
    <w:p w:rsidR="00C0632B" w:rsidRDefault="00E635A0" w:rsidP="00C0632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C5645">
        <w:rPr>
          <w:rFonts w:ascii="Arial" w:hAnsi="Arial" w:cs="Arial"/>
          <w:sz w:val="20"/>
          <w:szCs w:val="20"/>
        </w:rPr>
        <w:t>Software_Development_Process.VSD</w:t>
      </w:r>
    </w:p>
    <w:p w:rsidR="00DC5645" w:rsidRDefault="00DC5645" w:rsidP="00C0632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Software_Requirement_Process.VSD</w:t>
      </w:r>
    </w:p>
    <w:p w:rsidR="00DC5645" w:rsidRDefault="00DC5645" w:rsidP="00C0632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Software_ Rec</w:t>
      </w:r>
      <w:r w:rsidR="00AD0143">
        <w:rPr>
          <w:rFonts w:ascii="Arial" w:hAnsi="Arial" w:cs="Arial"/>
          <w:sz w:val="20"/>
          <w:szCs w:val="20"/>
        </w:rPr>
        <w:t>ipe_Process.VSD</w:t>
      </w:r>
    </w:p>
    <w:p w:rsidR="00EF1DC2" w:rsidRDefault="00EF1DC2" w:rsidP="00C0632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Standards_Catalogue.docx</w:t>
      </w:r>
    </w:p>
    <w:p w:rsidR="0056605E" w:rsidRDefault="0056605E" w:rsidP="00C0632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Standards_Development</w:t>
      </w:r>
      <w:r w:rsidR="00BD7960">
        <w:rPr>
          <w:rFonts w:ascii="Arial" w:hAnsi="Arial" w:cs="Arial"/>
          <w:sz w:val="20"/>
          <w:szCs w:val="20"/>
        </w:rPr>
        <w:t>.docx</w:t>
      </w:r>
    </w:p>
    <w:p w:rsidR="00BD7960" w:rsidRDefault="00BD7960" w:rsidP="00BD7960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Standards_Storage.docx</w:t>
      </w:r>
    </w:p>
    <w:p w:rsidR="00E635A0" w:rsidRDefault="00E635A0" w:rsidP="00E635A0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above documents can be found at </w:t>
      </w:r>
    </w:p>
    <w:p w:rsidR="00E635A0" w:rsidRDefault="00E635A0" w:rsidP="00E635A0">
      <w:pPr>
        <w:ind w:left="1440"/>
        <w:rPr>
          <w:rFonts w:ascii="Arial" w:hAnsi="Arial" w:cs="Arial"/>
          <w:sz w:val="20"/>
          <w:szCs w:val="20"/>
        </w:rPr>
      </w:pPr>
    </w:p>
    <w:bookmarkEnd w:id="0"/>
    <w:bookmarkEnd w:id="1"/>
    <w:p w:rsidR="00C0632B" w:rsidRDefault="00C0632B" w:rsidP="00C0632B">
      <w:pPr>
        <w:rPr>
          <w:lang w:eastAsia="en-US"/>
        </w:rPr>
      </w:pPr>
    </w:p>
    <w:p w:rsidR="00970D36" w:rsidRDefault="00970D36" w:rsidP="00970D36">
      <w:pPr>
        <w:pStyle w:val="Heading1"/>
      </w:pPr>
      <w:r>
        <w:t>[Other Information]</w:t>
      </w:r>
    </w:p>
    <w:sectPr w:rsidR="00970D36" w:rsidSect="00F108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D0" w:rsidRDefault="004F06D0">
      <w:r>
        <w:separator/>
      </w:r>
    </w:p>
  </w:endnote>
  <w:endnote w:type="continuationSeparator" w:id="0">
    <w:p w:rsidR="004F06D0" w:rsidRDefault="004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D0" w:rsidRDefault="004F06D0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6D0" w:rsidRDefault="004F06D0" w:rsidP="00E04C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D0" w:rsidRDefault="004F06D0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785">
      <w:rPr>
        <w:rStyle w:val="PageNumber"/>
        <w:noProof/>
      </w:rPr>
      <w:t>2</w:t>
    </w:r>
    <w:r>
      <w:rPr>
        <w:rStyle w:val="PageNumber"/>
      </w:rPr>
      <w:fldChar w:fldCharType="end"/>
    </w:r>
  </w:p>
  <w:p w:rsidR="004F06D0" w:rsidRDefault="004F06D0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4F06D0" w:rsidRPr="006E43C0" w:rsidRDefault="004F06D0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4F06D0" w:rsidRPr="006E43C0" w:rsidRDefault="004F06D0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4F06D0" w:rsidRDefault="004F06D0" w:rsidP="009A4F6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D0" w:rsidRDefault="004F06D0" w:rsidP="0061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785">
      <w:rPr>
        <w:rStyle w:val="PageNumber"/>
        <w:noProof/>
      </w:rPr>
      <w:t>1</w:t>
    </w:r>
    <w:r>
      <w:rPr>
        <w:rStyle w:val="PageNumber"/>
      </w:rPr>
      <w:fldChar w:fldCharType="end"/>
    </w:r>
  </w:p>
  <w:p w:rsidR="004F06D0" w:rsidRDefault="004F06D0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4F06D0" w:rsidRPr="006E43C0" w:rsidRDefault="004F06D0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4F06D0" w:rsidRPr="006E43C0" w:rsidRDefault="004F06D0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4F06D0" w:rsidRDefault="004F06D0" w:rsidP="00261A9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D0" w:rsidRDefault="004F06D0">
      <w:r>
        <w:separator/>
      </w:r>
    </w:p>
  </w:footnote>
  <w:footnote w:type="continuationSeparator" w:id="0">
    <w:p w:rsidR="004F06D0" w:rsidRDefault="004F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D0" w:rsidRPr="003F57A2" w:rsidRDefault="004F06D0" w:rsidP="00F108F9">
    <w:pPr>
      <w:pStyle w:val="Header"/>
      <w:pBdr>
        <w:bottom w:val="single" w:sz="4" w:space="1" w:color="auto"/>
      </w:pBdr>
      <w:jc w:val="right"/>
      <w:rPr>
        <w:rFonts w:ascii="Arial" w:hAnsi="Arial" w:cs="Arial"/>
        <w:smallCaps/>
        <w:sz w:val="18"/>
      </w:rPr>
    </w:pPr>
    <w:r>
      <w:rPr>
        <w:rFonts w:ascii="Arial" w:hAnsi="Arial" w:cs="Arial"/>
        <w:smallCaps/>
        <w:sz w:val="18"/>
      </w:rPr>
      <w:t>[Document Title]</w:t>
    </w:r>
  </w:p>
  <w:p w:rsidR="004F06D0" w:rsidRDefault="004F06D0" w:rsidP="00E04C75">
    <w:pPr>
      <w:pStyle w:val="Header"/>
      <w:ind w:hanging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D0" w:rsidRDefault="004F06D0" w:rsidP="00F108F9">
    <w:pPr>
      <w:pStyle w:val="Header"/>
      <w:ind w:hanging="1080"/>
    </w:pPr>
    <w:r>
      <w:rPr>
        <w:noProof/>
      </w:rPr>
      <w:drawing>
        <wp:inline distT="0" distB="0" distL="0" distR="0">
          <wp:extent cx="65151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7D4"/>
    <w:multiLevelType w:val="hybridMultilevel"/>
    <w:tmpl w:val="D1C0565A"/>
    <w:lvl w:ilvl="0" w:tplc="1E68C5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A39CC"/>
    <w:multiLevelType w:val="hybridMultilevel"/>
    <w:tmpl w:val="F858E08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C11FAC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2DDE6858"/>
    <w:multiLevelType w:val="hybridMultilevel"/>
    <w:tmpl w:val="8A3ED402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07D01F1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587B2F4E"/>
    <w:multiLevelType w:val="hybridMultilevel"/>
    <w:tmpl w:val="01BCED6E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5AC8015F"/>
    <w:multiLevelType w:val="hybridMultilevel"/>
    <w:tmpl w:val="7162286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1547AB2"/>
    <w:multiLevelType w:val="multilevel"/>
    <w:tmpl w:val="83ACF360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70"/>
        </w:tabs>
        <w:ind w:left="137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8">
    <w:nsid w:val="7D6C660B"/>
    <w:multiLevelType w:val="multilevel"/>
    <w:tmpl w:val="5226ECE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5"/>
    <w:rsid w:val="00013BE5"/>
    <w:rsid w:val="000222A3"/>
    <w:rsid w:val="0004776D"/>
    <w:rsid w:val="000A0DD4"/>
    <w:rsid w:val="000B410A"/>
    <w:rsid w:val="000F7B1A"/>
    <w:rsid w:val="0010694B"/>
    <w:rsid w:val="00114B73"/>
    <w:rsid w:val="00124DA9"/>
    <w:rsid w:val="00171341"/>
    <w:rsid w:val="00176226"/>
    <w:rsid w:val="00181ABC"/>
    <w:rsid w:val="00182F28"/>
    <w:rsid w:val="001B05F6"/>
    <w:rsid w:val="001B1BA5"/>
    <w:rsid w:val="001B5B06"/>
    <w:rsid w:val="002431D7"/>
    <w:rsid w:val="00261A9E"/>
    <w:rsid w:val="00262F0E"/>
    <w:rsid w:val="00267962"/>
    <w:rsid w:val="00277289"/>
    <w:rsid w:val="002E23E1"/>
    <w:rsid w:val="00306D28"/>
    <w:rsid w:val="00347E06"/>
    <w:rsid w:val="00373B86"/>
    <w:rsid w:val="00381184"/>
    <w:rsid w:val="003858B0"/>
    <w:rsid w:val="003D27AA"/>
    <w:rsid w:val="004023E7"/>
    <w:rsid w:val="004469E4"/>
    <w:rsid w:val="00455F13"/>
    <w:rsid w:val="004579D5"/>
    <w:rsid w:val="004939D8"/>
    <w:rsid w:val="004C6785"/>
    <w:rsid w:val="004F06D0"/>
    <w:rsid w:val="005040E9"/>
    <w:rsid w:val="00525082"/>
    <w:rsid w:val="005515A2"/>
    <w:rsid w:val="0056605E"/>
    <w:rsid w:val="005674ED"/>
    <w:rsid w:val="00586F45"/>
    <w:rsid w:val="0059268F"/>
    <w:rsid w:val="005E40D7"/>
    <w:rsid w:val="0060328B"/>
    <w:rsid w:val="00604677"/>
    <w:rsid w:val="00610A2E"/>
    <w:rsid w:val="006121FC"/>
    <w:rsid w:val="006129EB"/>
    <w:rsid w:val="00630282"/>
    <w:rsid w:val="00640333"/>
    <w:rsid w:val="0068329B"/>
    <w:rsid w:val="006876FA"/>
    <w:rsid w:val="006B1824"/>
    <w:rsid w:val="006D356B"/>
    <w:rsid w:val="006F27B7"/>
    <w:rsid w:val="0071520C"/>
    <w:rsid w:val="0072794E"/>
    <w:rsid w:val="007322B1"/>
    <w:rsid w:val="00741AD7"/>
    <w:rsid w:val="007D0F56"/>
    <w:rsid w:val="007D6BF3"/>
    <w:rsid w:val="007E57B8"/>
    <w:rsid w:val="00805717"/>
    <w:rsid w:val="00831FF5"/>
    <w:rsid w:val="008C62C6"/>
    <w:rsid w:val="008C63F2"/>
    <w:rsid w:val="009371D4"/>
    <w:rsid w:val="009609F3"/>
    <w:rsid w:val="009707E3"/>
    <w:rsid w:val="00970D36"/>
    <w:rsid w:val="00982979"/>
    <w:rsid w:val="009A1AC4"/>
    <w:rsid w:val="009A4F6E"/>
    <w:rsid w:val="009E4DE7"/>
    <w:rsid w:val="00A02A77"/>
    <w:rsid w:val="00A2557E"/>
    <w:rsid w:val="00A26A69"/>
    <w:rsid w:val="00A275CE"/>
    <w:rsid w:val="00A64A62"/>
    <w:rsid w:val="00A656BC"/>
    <w:rsid w:val="00AB7A47"/>
    <w:rsid w:val="00AD0143"/>
    <w:rsid w:val="00AD20F8"/>
    <w:rsid w:val="00AE45F9"/>
    <w:rsid w:val="00AE6247"/>
    <w:rsid w:val="00B232D6"/>
    <w:rsid w:val="00B41F59"/>
    <w:rsid w:val="00B9501A"/>
    <w:rsid w:val="00BD0754"/>
    <w:rsid w:val="00BD076A"/>
    <w:rsid w:val="00BD7960"/>
    <w:rsid w:val="00BE568D"/>
    <w:rsid w:val="00C0632B"/>
    <w:rsid w:val="00C263C1"/>
    <w:rsid w:val="00C4515F"/>
    <w:rsid w:val="00C5390F"/>
    <w:rsid w:val="00C70F0B"/>
    <w:rsid w:val="00C87110"/>
    <w:rsid w:val="00CB1FE2"/>
    <w:rsid w:val="00CF334F"/>
    <w:rsid w:val="00CF76C5"/>
    <w:rsid w:val="00D61903"/>
    <w:rsid w:val="00D628CA"/>
    <w:rsid w:val="00D8377B"/>
    <w:rsid w:val="00DA3168"/>
    <w:rsid w:val="00DB5F94"/>
    <w:rsid w:val="00DC2EB1"/>
    <w:rsid w:val="00DC5645"/>
    <w:rsid w:val="00DE5606"/>
    <w:rsid w:val="00E001CA"/>
    <w:rsid w:val="00E014DB"/>
    <w:rsid w:val="00E04C75"/>
    <w:rsid w:val="00E06708"/>
    <w:rsid w:val="00E324F2"/>
    <w:rsid w:val="00E41849"/>
    <w:rsid w:val="00E635A0"/>
    <w:rsid w:val="00E6741A"/>
    <w:rsid w:val="00E74874"/>
    <w:rsid w:val="00E861E2"/>
    <w:rsid w:val="00EC4941"/>
    <w:rsid w:val="00EC49B9"/>
    <w:rsid w:val="00EF1DC2"/>
    <w:rsid w:val="00EF377D"/>
    <w:rsid w:val="00F05D0D"/>
    <w:rsid w:val="00F108F9"/>
    <w:rsid w:val="00F25A9D"/>
    <w:rsid w:val="00F56F2F"/>
    <w:rsid w:val="00F637C5"/>
    <w:rsid w:val="00F95294"/>
    <w:rsid w:val="00F963FA"/>
    <w:rsid w:val="00F96914"/>
    <w:rsid w:val="00FA2A83"/>
    <w:rsid w:val="00F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DC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0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DC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0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l.qut.edu.au/default.aspx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oe\dsl\prod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your document title here]</vt:lpstr>
    </vt:vector>
  </TitlesOfParts>
  <Company>Queensland University of Technology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your document title here]</dc:title>
  <dc:creator>boyer</dc:creator>
  <cp:lastModifiedBy>Matthew Clayton</cp:lastModifiedBy>
  <cp:revision>2</cp:revision>
  <cp:lastPrinted>2010-04-15T02:05:00Z</cp:lastPrinted>
  <dcterms:created xsi:type="dcterms:W3CDTF">2010-08-23T03:12:00Z</dcterms:created>
  <dcterms:modified xsi:type="dcterms:W3CDTF">2010-08-23T03:12:00Z</dcterms:modified>
</cp:coreProperties>
</file>